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20 83 vom 2. November 2022</w:t>
      </w:r>
    </w:p>
    <w:p>
      <w:r>
        <w:t>VS Kantonsgericht, 2022-11-02, FR</w:t>
      </w:r>
    </w:p>
    <w:p>
      <w:r>
        <w:rPr>
          <w:b/>
        </w:rPr>
        <w:t xml:space="preserve">Quelle: </w:t>
      </w:r>
      <w:r>
        <w:t>https://mcp.opencaselaw.ch/entscheid/vs_gerichte_S2 20 83</w:t>
      </w:r>
    </w:p>
    <w:p>
      <w:r>
        <w:t>FR: VS_GERICHTE S2 20 83 du 2 novembre 2022</w:t>
      </w:r>
    </w:p>
    <w:p>
      <w:r>
        <w:t>IT: VS_GERICHTE S2 20 83 del 2 novembre 2022</w:t>
      </w:r>
    </w:p>
    <w:p>
      <w:pPr>
        <w:pStyle w:val="Heading2"/>
      </w:pPr>
      <w:r>
        <w:t>Regeste</w:t>
      </w:r>
    </w:p>
    <w:p>
      <w:r>
        <w:t>S2 20 83 JUGEMENT DU 2 NOVEMBRE 2022 Tribunal cantonal du Valais Cour des assurances sociales Composition : Candido Prada, président ; Thomas Brunner et Christophe Joris, juges ; Pierre-André Moix, greffier en la cause X _________, A _________, recourant, représenté par B _________ SA, 1700 Fribourg contre Y _________, C _________, intimée (Notion d’accident, facteur extérieur)</w:t>
      </w:r>
    </w:p>
    <w:p>
      <w:pPr>
        <w:pStyle w:val="Heading2"/>
      </w:pPr>
      <w:r>
        <w:t>Erwägungen</w:t>
      </w:r>
    </w:p>
    <w:p>
      <w:r>
        <w:rPr>
          <w:b/>
        </w:rPr>
        <w:t>E. 5</w:t>
      </w:r>
    </w:p>
    <w:p>
      <w:r>
        <w:t>novembre précédent, a été interjeté dans le délai légal (art. 60 al. 1 LPGA) devant la Cour de céans, compétente à raison du lieu et de la matière (art. 56, 57 et 58 LPGA ; art. 81a al. 1 de la loi du 6 octobre 1976 sur la procédure et la juridiction administratives – LPJA). Il répond par ailleurs aux autres conditions formelles de recevabilité (art. 61 let. b LPGA), de sorte qu’il convient d’entrer en matière. 2.1 Le litige porte en premier lieu sur le point de savoir si la Y _________ était fondée à refuser de prendre en charge le cas du recourant, au motif que ses troubles n’ont pas été causés par un accident. 2.2 L'assurance-accidents est en principe tenue d'allouer ses prestations en cas d'accident professionnel ou non professionnel (art. 6 al. 1 LAA).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(ATF 142 V 219 consid. 4.3.1; 129 V 402 consid. 2.1 et les références). 2.2.1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précité et les références). Ainsi,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w:t>
      </w:r>
    </w:p>
    <w:p>
      <w:r>
        <w:t>- 6 -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 et arrêt 8C_815/2016 du 14 mars 2017 consid. 4.2). 2.2.2 Pour des lésions dues à l'effort (soulèvement, déplacement de charges notamment), il faut examiner de cas en cas si l'effort doit être considéré comme extraordinaire, en tenant compte de la constitution physique et des habitudes professionnelles ou autres de l'intéressé (arrêts arrêt 8C_395/2020 du 28 septembre 2020 consid. 2.2 et 4.2 et 8C_292/2014 du 18 août 2014 consid. 5.1 et la référence). Concernant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Le facteur extérieur, dans le sens d’une modification entre le corps et l'environnement extérieur, constitue alors en même temps le facteur extraordinaire en raison du déroulement non programmé du mouvement (ATF 130 V 117 consid. 2.1 ; arrêt 8C_586/2020 du 30 novembre 2020 consid. 3.3). 2.3 D'après la jurisprudence, il appartient à la personne assurée de rendre plausible que les éléments d'un accident, tel qu'il est défini, sont réunis (arrêt 8C_549/2018 du 22 janvier 2019 consid. 3). Lorsque l'instruction ne permet pas de tenir ces éléments pour établis ou du moins pour vraisemblables (à ce sujet, voir ATF 139 V 176 consid. 5.3 ; 138 V 218 consid. 6 et les références), le juge constatera l'absence de preuves ou d'indices et, par conséquent, l'inexistence juridique d'un accident. Les mêmes principes sont applicables en ce qui concerne la preuve d'une lésion assimilée à un accident (ATF 116 V 136 consid. 4b). En présence de deux versions différentes sur les circonstances d'un accident, il faut, en principe, donner la préférence à celle que l'assuré a donnée en premier, alors qu'il en ignorait les conséquences juridiques, les explications nouvelles pouvant être - consciemment ou non - le produit de réflexions ultérieures (ATF 121 V 45 consid. 2a et les références ; voir aussi ATF 143 V 168 consid. 5.2.2).</w:t>
      </w:r>
    </w:p>
    <w:p>
      <w:r>
        <w:t>- 7 - Il a déjà été jugé que, dans la mesure où l’assureur-accidents a établi les faits pertinents de façon détaillée au moyen d’un questionnaire, des compléments décisifs donnés par l’assuré seulement après avoir reçu une décision de refus motivée n’apparaissent pas convaincants s’il n’explique pas qu’ils n’ont pas été mentionnés avant l’opposition à cette dernière (arrêt U 64/02 du 26 février 2004 consid. 2.2.3). Encore faut-il que le questionnaire utilisé par l’assureur-accidents ne soit pas ambigu, comporte au besoin des commentaires explicatifs suffisants en regard de questions déterminantes, et voir si la version complémentaire fournie par l’assuré est corroborée par des constatations médicales fiables (arrêt 8C_496/2007 du 29 avril 2008 consid. 4). 2.4 La jurisprudence (ATF 125 V 351 consid. 3b/ee)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(ATF 122 V 157 consid. 1d).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Il résulte de ce qui précède que les rapports des médecins employés de l'assurance sont à prendre en considération tant qu'il n'existe aucun doute, même minime, sur l'exactitude de leurs conclusions (ATF 135 V 465 consid. 4.7 ; arrêt 8C_796/2016 du 14 juin 2017 consid. 3.3). 3. En l’espèce, le recourant a, dans le questionnaire rempli à l’attention de la Y _________ en date du 3 janvier 2020, indiqué qu’il était monté sur une échelle pour débrancher des prises réseau et qu'en descendant, il avait mis le pied gauche à terre et</w:t>
      </w:r>
    </w:p>
    <w:p>
      <w:r>
        <w:t>- 8 - fait une rotation avec le genou. A la question « S’est-il produit quelque chose de particulier (glissade, chute, etc.) ? », il a coché la case « Non ». Lors de son opposition du 2 novembre 2020, l’intéressé a complété la description de l’événement du 11 décembre 2019 en ajoutant qu’il s’était pris le pied dans les câbles, ce qui avait provoqué un enchainement de mouvements non coordonnés (pied à terre précipitamment, rotation genou) qui avait conduit aux lésions. Il apparaît pour le moins étonnant que le recourant n’ait pas fait mention du fait qu’il s’était encoublé dans des câbles en descendant de son échelle. En effet, si tel a été le cas, la présence d’un obstacle lors de sa descente et le fait que cela ait causé un mouvement non coordonné est un élément central. On notera en outre que ces précisions supplémentaires, qui auraient dû être mentionnées dans le formulaire du 3 janvier 2020, en particulier en réponse à la question portant sur « S’est-il produit quelque chose de particulier (glissade, chute, etc.) ? », n’ont été apportées qu’au stade de l’opposition, soit après que l’assuré a été informé par l’intimée que son cas n’allait pas être pris en charge en raison de l’absence de facteur extérieur et extraordinaire. Cette version des faits ne saurait dès lors être décisive à elle- seule. En présence de deux versions différentes, la jurisprudence préconise de retenir celle qui a été faite en premier, alors que l’intéressé en ignorait les conséquences juridiques. A cet égard, les témoignages des trois collègues du recourant ne lui sont d’aucun secours, étant intervenus seulement au stade du recours et produits uniquement pour les besoins de la cause. Il convient ainsi de retenir la première description des événements faite par l’assuré dans le questionnaire du 3 janvier 2020, dans lequel il ne fait mention que de la descente d’une échelle et sans préciser s’être encoublé dans des câbles. Dès lors, compte tenu du déroulement des faits, la Y _________ a à juste titre considéré que les conditions de l’accident n’étaient pas remplies, du fait de l’absence d'un facteur extérieur de caractère extraordinaire. 4.1 Le recourant considère qu’en tout état de cause, ses troubles devraient être pris en charge dès lors qu’ils constituent une lésion assimilée à un accident. 4.2 L’assurance alloue aussi ses prestations pour les lésions corporelles énumérées exhaustivement à l’article 6 alinéa 2 LAA, pour autant qu’elles ne soient pas dues de manière prépondérante à l’usure ou à une maladie. La lettre c de cette disposition mentionne les déchirures du ménisque et la lettre f les lésions de ligaments.</w:t>
      </w:r>
    </w:p>
    <w:p>
      <w:r>
        <w:t>- 9 - Selon la jurisprudence récente du Tribunal fédéral (ATF 146 V 51), lorsqu'une lésion corporelle comprise dans la liste énumérée à l'article 6 alinéa 2 LAA est diagnostiquée, l'assureur-accidents est tenu à prestations aussi longtemps qu'il n'apporte pas la preuve libératoire que cette lésion est due de manière prépondérante, c'est-à-dire à plus de 50% de tous les facteurs en cause, à l'usure ou à une maladie (cf. consid. 8.2.2.1 et 8.3). En effet, contrairement à ce qui prévalait en matière de lésions corporelles assimilées à un accident sous l'empire de l'ancien droit (cf. art. 6 al. 2 LAA et art. 9 al. 2 OLAA [RS 832.202] dans leur teneur en vigueur jusqu'au 31 décembre 2016), l'octroi de prestations sur la base de l'article 6 alinéa 2 LAA (dans sa teneur en vigueur depuis le 1er janvier 2017) ne suppose plus que les conditions constitutives de la notion d'accident (cf. art. 4 LPGA [RS 830.1]) soient réalisées, à la seule exception du caractère « extraordinaire » de la cause extérieure. Le seul fait que l'on soit en présence d'une lésion corporelle comprise dans la liste énumérée à l'article 6 alinéa 2 LAA entraîne la présomption qu'il s'agit d'une lésion corporelle assimilée à un accident, qui doit être prise en charge par l'assureur-accidents. Celui-ci est dès lors tenu de prester aussi longtemps qu'il n'apporte pas la preuve, en s'appuyant sur des avis médicaux probants, que cette lésion est due de manière prépondérante à l'usure ou à la maladie (cf. consid. 8.6). 4.3 A la suite de l’événement du 11 décembre 2019, une IRM a été pratiquée une semaine plus tard. Au cours de cet examen, le radiologue H _________ a notamment pu constater une déchirure longitudinale oblique de la corne postérieure du ménisque interne et une distension du ligament latéral interne (LLI) avec déchirure du ligament oblique postérieur. Il ne fait pas de doute que ces lésions entrent dans la liste prévue par l’article 6 alinéa 2 LAA. Il convient dès lors de définir si elles sont la conséquence de l’usure ou de la maladie ou si elles ont été causées par la rotation du genou intervenue le 11 décembre 2019. Dans son rapport du 22 septembre 2020, le Dr J _________, médecin d’arrondissement de la Y _________ et spécialiste en chirurgie orthopédique et traumatologie de l’appareil locomoteur, a considéré que la déchirure longitudinale oblique de la corne postérieure du ménisque interne mis en évidence sur l’IRM du 18 décembre 2019 était d’origine dégénérative, qui était corroboré par la littérature médicale. Il n’a par contre pas pris position sur la déchirure du ligament oblique postérieur. Le Dr I _________, chirurgien ayant procédé à l’intervention chirurgicale du 3 juillet 2020, est quant à lui d’avis qu’une lésion du ligament interne ne peut pas être la suite d’une maladie sauf en cas d’instabilité chronique avec distorsion du ligament, ce qui n’était pas</w:t>
      </w:r>
    </w:p>
    <w:p>
      <w:r>
        <w:t>- 10 - le cas du recourant. S’agissant de la lésion du ménisque, il a également estimé qu’elle avait avec une très grande probabilité été causée par le traumatisme. Confrontée à ces opinions contradictoires, la Y _________ ne pouvait pas simplement suivre les conclusions de son médecin-conseil, ce d’autant plus qu’elles ne sont que très brièvement motivées, le Dr J _________ se contentant de se référer à de la littérature médicale. En outre, le médecin d’arrondissement n’a pas examiné personnellement le recourant et son opinion s’oppose à celle du chirurgien qui a pratiqué l’opération, de sorte qu’il possède une complète et exhaustive connaissance du cas particulier. Ainsi, de l’avis de la Cour de céans, l’affirmation du Dr J _________ selon laquelle la lésion en cause serait due à un processus dégénératif est insuffisamment étayée sur le plan médical. Or c'est à l’intimée qu'incombe le fardeau de la preuve libératoire que la lésion est due de manière prépondérante - soit à plus de 50 % de tous les autres facteurs en cause - à l'usure ou à la maladie. Dans cette optique, elle avait l'obligation d'instruire d'office les éléments médicaux déterminants pour la résolution du cas (art. 43 al. 1 LPGA) et ne pouvait pas se contenter de l’avis médical succinctement motivé de son médecin d’arrondissement pour refuser la prise en charge de l'atteinte à la santé de l'intimé. 4.4 Eu égard à ce qui précède, la décision sur opposition du 5 novembre 2020 est annulée et la cause renvoyée à la Y _________ pour mise en œuvre d’une expertise indépendante au sens de l’article 44 LPGA, dans la mesure où il convient encore d’examiner un certain nombre de points que les avis contradictoires des spécialistes n’ont pas permis à la Cour d’élucider (cf. dans ce sens : arrêts 8C_13/2021 du</w:t>
      </w:r>
    </w:p>
    <w:p>
      <w:r>
        <w:rPr>
          <w:b/>
        </w:rPr>
        <w:t>E. 5.1</w:t>
      </w:r>
    </w:p>
    <w:p>
      <w:r>
        <w:t>La procédure étant gratuite, il n’est pas perçu de frais (art. 61 let. a aLPGA et 83 LPGA).</w:t>
      </w:r>
    </w:p>
    <w:p>
      <w:r>
        <w:rPr>
          <w:b/>
        </w:rPr>
        <w:t>E. 5.2</w:t>
      </w:r>
    </w:p>
    <w:p>
      <w:r>
        <w:t>La partie recourante est réputée avoir obtenu gain de cause (art. 61 let. g LPGA) lorsque, dans la procédure judiciaire cantonale portant sur des prestations d’assurance sociale, la décision administrative est annulée et la cause renvoyée à l’administration pour instruction complémentaire puis nouvelle décision (ATF 137 V 57 consid. 2.1 et 132 V 215 consid. 6).</w:t>
      </w:r>
    </w:p>
    <w:p>
      <w:r>
        <w:t>- 11 - Selon les articles 61 lettre g LPGA et 91 alinéa 1 LPJA, le recourant qui obtient gain de cause a droit au remboursement de ses frais et dépens dans la mesure fixée par le tribunal ; leur montant est déterminé sans égard à la valeur litigieuse d’après l’importance et la complexité du litige. L’autorité cantonale chargée de fixer l’indemnité de dépens jouit d’un large pouvoir d’appréciation (ATF 111 V 49 consid. 4a). Aux termes de l’article 27 alinéa 1 de la loi fixant le tarif des frais et dépens devant les autorités judiciaires ou administratives (LTar ; RS/VS 173.8), les honoraires sont fixés d’après la nature et l’importance de la cause, ses difficultés, l’ampleur du travail, le temps utilement consacré par le conseil juridique, et la situation financière des parties. D’une façon générale, le juge est en mesure de se rendre compte de la nature et de l'ampleur des opérations que le procès a nécessitées (ATF 139 V 496 consid. 5.1). Il ne prend en compte que le temps utilisé par l’avocat qui s’inscrit raisonnablement dans le cadre de l’accomplissement de sa tâche (ATF 109 Ia 107 consid. 3b ; arrêt 5D_54/2014 du 1er juillet 2014 consid. 2.2 ; RVJ 2009 160 consid. 5a). La durée de l’activité utilement déployée par un avocat diligent est appréciée en procédant par estimation, en fonction du cours ordinaire des choses et de l’expérience de la vie (RVJ 1994 153 consid. 3c). Devant la Cour des assurances sociales du Tribunal cantonal, les honoraires sont fixés entre 550 fr. et 11 000 fr. (art. 40 al. 1 LTar) selon l’importance et la complexité du litige et non pas en fonction de la liste des opérations de l’avocat de choix, d’une association ou d’une protection juridique. La LTar consacre le principe de l'évaluation globale des dépens (art. 4 al. 1 et art. 27 al. 4 LTar), laissant dans ce cadre à l’autorité ou au juge un large pouvoir d'appréciation qui doit néanmoins être exercé dans les limites fixées par la loi. Ainsi,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w:t>
      </w:r>
    </w:p>
    <w:p>
      <w:r>
        <w:rPr>
          <w:b/>
        </w:rPr>
        <w:t>E. 5.3</w:t>
      </w:r>
    </w:p>
    <w:p>
      <w:r>
        <w:t>Dans le cas d’espèce, le mandataire du recourant a produit un recours de sept pages et un courrier. Au vu des critères précités, de l’activité utile déployée par le mandataire du recourant, de la teneur des pièces de procédure déposées, de la complexité moyenne de l’affaire, de l’ampleur du dossier, la Cour fixe les honoraires de son avocat à un montant arrondi de 1400 francs, débours et TVA compris.</w:t>
      </w:r>
    </w:p>
    <w:p>
      <w:r>
        <w:t>Prononce</w:t>
      </w:r>
    </w:p>
    <w:p>
      <w:r>
        <w:t>- 12 -</w:t>
      </w:r>
    </w:p>
    <w:p>
      <w:r>
        <w:t>1. Le recours est admis. La cause est renvoyée à la Y _________ afin qu’elle mette en œuvre une expertise au sens de l’article 44 LPGA et rende une nouvelle décision. 2. Il n'est pas perçu de frais. 3. La Y _________ versera à X _________ une indemnité de 1400 francs pour ses dépens.</w:t>
      </w:r>
    </w:p>
    <w:p>
      <w:r>
        <w:t>Sion, le 2 novembre 2022</w:t>
      </w:r>
    </w:p>
    <w:p>
      <w:r>
        <w:rPr>
          <w:b/>
        </w:rPr>
        <w:t>E. 6</w:t>
      </w:r>
    </w:p>
    <w:p>
      <w:r>
        <w:t>septembre 2021 consid. 3.4 ; 8C_382/2020 du 3 décembre 2020 consid. 6.3 et 6.4). Si l'expert désigné n'arrive pas à la conclusion motivée et convaincante que la lésion du recourant est due de manière prépondérante à l'usure ou à la maladie, il appartiendra alors à la Y _________ de prendre en charge les suites de l'atteinte à la santé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